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F0C" w:rsidRDefault="00C2449A" w:rsidP="00055F0C">
      <w:pPr>
        <w:tabs>
          <w:tab w:val="left" w:pos="0"/>
        </w:tabs>
        <w:autoSpaceDE w:val="0"/>
        <w:autoSpaceDN w:val="0"/>
        <w:adjustRightInd w:val="0"/>
        <w:ind w:right="-540"/>
        <w:rPr>
          <w:rFonts w:ascii="AcadNusx" w:hAnsi="AcadNusx"/>
          <w:noProof/>
          <w:lang w:val="en-US" w:eastAsia="en-US"/>
        </w:rPr>
      </w:pPr>
      <w:r>
        <w:rPr>
          <w:rFonts w:ascii="AcadNusx" w:hAnsi="AcadNusx"/>
          <w:noProof/>
          <w:lang w:val="en-US" w:eastAsia="en-US"/>
        </w:rPr>
        <mc:AlternateContent>
          <mc:Choice Requires="wps">
            <w:drawing>
              <wp:anchor distT="0" distB="0" distL="114300" distR="114300" simplePos="0" relativeHeight="251659264" behindDoc="0" locked="0" layoutInCell="1" allowOverlap="1">
                <wp:simplePos x="0" y="0"/>
                <wp:positionH relativeFrom="page">
                  <wp:posOffset>704850</wp:posOffset>
                </wp:positionH>
                <wp:positionV relativeFrom="paragraph">
                  <wp:posOffset>-50800</wp:posOffset>
                </wp:positionV>
                <wp:extent cx="6142055" cy="74930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055" cy="749300"/>
                        </a:xfrm>
                        <a:prstGeom prst="rect">
                          <a:avLst/>
                        </a:prstGeom>
                        <a:solidFill>
                          <a:srgbClr val="FFFFFF"/>
                        </a:solidFill>
                        <a:ln w="9525">
                          <a:solidFill>
                            <a:srgbClr val="FFFFFF"/>
                          </a:solidFill>
                          <a:miter lim="800000"/>
                          <a:headEnd/>
                          <a:tailEnd/>
                        </a:ln>
                      </wps:spPr>
                      <wps:txbx>
                        <w:txbxContent>
                          <w:p w:rsidR="00055F0C" w:rsidRPr="00293382" w:rsidRDefault="0053021C" w:rsidP="00055F0C">
                            <w:pPr>
                              <w:autoSpaceDE w:val="0"/>
                              <w:autoSpaceDN w:val="0"/>
                              <w:adjustRightInd w:val="0"/>
                              <w:jc w:val="center"/>
                              <w:rPr>
                                <w:rFonts w:ascii="Sylfaen" w:hAnsi="Sylfaen" w:cs="LitMtavrPS"/>
                                <w:sz w:val="18"/>
                                <w:szCs w:val="18"/>
                                <w:lang w:val="ka-GE"/>
                              </w:rPr>
                            </w:pPr>
                            <w:r>
                              <w:rPr>
                                <w:rFonts w:ascii="AcadNusx" w:hAnsi="AcadNusx" w:cs="LitMtavrPS"/>
                                <w:sz w:val="18"/>
                                <w:szCs w:val="18"/>
                                <w:lang w:val="en-US"/>
                              </w:rPr>
                              <w:t xml:space="preserve">   </w:t>
                            </w:r>
                            <w:r w:rsidR="00293382">
                              <w:rPr>
                                <w:rFonts w:ascii="Sylfaen" w:hAnsi="Sylfaen" w:cs="LitMtavrPS"/>
                                <w:sz w:val="18"/>
                                <w:szCs w:val="18"/>
                                <w:lang w:val="ka-GE"/>
                              </w:rPr>
                              <w:t>არასამეწარმეო (არაკომერციული) იურიდიული პირი</w:t>
                            </w:r>
                          </w:p>
                          <w:p w:rsidR="0053021C" w:rsidRPr="00293382" w:rsidRDefault="00293382" w:rsidP="0053021C">
                            <w:pPr>
                              <w:autoSpaceDE w:val="0"/>
                              <w:autoSpaceDN w:val="0"/>
                              <w:adjustRightInd w:val="0"/>
                              <w:jc w:val="center"/>
                              <w:rPr>
                                <w:rFonts w:ascii="Sylfaen" w:hAnsi="Sylfaen" w:cs="LitMtavrPS"/>
                                <w:b/>
                                <w:sz w:val="28"/>
                                <w:szCs w:val="28"/>
                                <w:lang w:val="ka-GE"/>
                              </w:rPr>
                            </w:pPr>
                            <w:r w:rsidRPr="00293382">
                              <w:rPr>
                                <w:rFonts w:ascii="Sylfaen" w:hAnsi="Sylfaen" w:cs="LitMtavrPS"/>
                                <w:b/>
                                <w:sz w:val="28"/>
                                <w:szCs w:val="28"/>
                                <w:lang w:val="ka-GE"/>
                              </w:rPr>
                              <w:t>საქართველოს სამედიცინო ჰოლდინგი</w:t>
                            </w:r>
                          </w:p>
                          <w:p w:rsidR="00055F0C" w:rsidRPr="00293382" w:rsidRDefault="0053021C" w:rsidP="00055F0C">
                            <w:pPr>
                              <w:jc w:val="center"/>
                              <w:rPr>
                                <w:b/>
                                <w:bCs/>
                                <w:sz w:val="28"/>
                                <w:szCs w:val="28"/>
                                <w:lang w:val="en-US"/>
                              </w:rPr>
                            </w:pPr>
                            <w:r w:rsidRPr="00293382">
                              <w:rPr>
                                <w:b/>
                                <w:bCs/>
                                <w:sz w:val="28"/>
                                <w:szCs w:val="28"/>
                                <w:lang w:val="en-US"/>
                              </w:rPr>
                              <w:t>GEORGIAN  MEDICAL HOLDING</w:t>
                            </w:r>
                          </w:p>
                          <w:p w:rsidR="000E196F" w:rsidRDefault="000E196F" w:rsidP="00055F0C">
                            <w:pPr>
                              <w:jc w:val="center"/>
                              <w:rPr>
                                <w:sz w:val="22"/>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5pt;margin-top:-4pt;width:483.65pt;height: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" strokecolor="white">
                <v:textbox>
                  <w:txbxContent>
                    <w:p w:rsidR="00055F0C" w:rsidRPr="00293382" w:rsidRDefault="0053021C" w:rsidP="00055F0C">
                      <w:pPr>
                        <w:autoSpaceDE w:val="0"/>
                        <w:autoSpaceDN w:val="0"/>
                        <w:adjustRightInd w:val="0"/>
                        <w:jc w:val="center"/>
                        <w:rPr>
                          <w:rFonts w:ascii="Sylfaen" w:hAnsi="Sylfaen" w:cs="LitMtavrPS"/>
                          <w:sz w:val="18"/>
                          <w:szCs w:val="18"/>
                          <w:lang w:val="ka-GE"/>
                        </w:rPr>
                      </w:pPr>
                      <w:r>
                        <w:rPr>
                          <w:rFonts w:ascii="AcadNusx" w:hAnsi="AcadNusx" w:cs="LitMtavrPS"/>
                          <w:sz w:val="18"/>
                          <w:szCs w:val="18"/>
                          <w:lang w:val="en-US"/>
                        </w:rPr>
                        <w:t xml:space="preserve">   </w:t>
                      </w:r>
                      <w:r w:rsidR="00293382">
                        <w:rPr>
                          <w:rFonts w:ascii="Sylfaen" w:hAnsi="Sylfaen" w:cs="LitMtavrPS"/>
                          <w:sz w:val="18"/>
                          <w:szCs w:val="18"/>
                          <w:lang w:val="ka-GE"/>
                        </w:rPr>
                        <w:t>არასამეწარმეო (არაკომერციული) იურიდიული პირი</w:t>
                      </w:r>
                    </w:p>
                    <w:p w:rsidR="0053021C" w:rsidRPr="00293382" w:rsidRDefault="00293382" w:rsidP="0053021C">
                      <w:pPr>
                        <w:autoSpaceDE w:val="0"/>
                        <w:autoSpaceDN w:val="0"/>
                        <w:adjustRightInd w:val="0"/>
                        <w:jc w:val="center"/>
                        <w:rPr>
                          <w:rFonts w:ascii="Sylfaen" w:hAnsi="Sylfaen" w:cs="LitMtavrPS"/>
                          <w:b/>
                          <w:sz w:val="28"/>
                          <w:szCs w:val="28"/>
                          <w:lang w:val="ka-GE"/>
                        </w:rPr>
                      </w:pPr>
                      <w:r w:rsidRPr="00293382">
                        <w:rPr>
                          <w:rFonts w:ascii="Sylfaen" w:hAnsi="Sylfaen" w:cs="LitMtavrPS"/>
                          <w:b/>
                          <w:sz w:val="28"/>
                          <w:szCs w:val="28"/>
                          <w:lang w:val="ka-GE"/>
                        </w:rPr>
                        <w:t>საქართველოს სამედიცინო ჰოლდინგი</w:t>
                      </w:r>
                    </w:p>
                    <w:p w:rsidR="00055F0C" w:rsidRPr="00293382" w:rsidRDefault="0053021C" w:rsidP="00055F0C">
                      <w:pPr>
                        <w:jc w:val="center"/>
                        <w:rPr>
                          <w:b/>
                          <w:bCs/>
                          <w:sz w:val="28"/>
                          <w:szCs w:val="28"/>
                          <w:lang w:val="en-US"/>
                        </w:rPr>
                      </w:pPr>
                      <w:r w:rsidRPr="00293382">
                        <w:rPr>
                          <w:b/>
                          <w:bCs/>
                          <w:sz w:val="28"/>
                          <w:szCs w:val="28"/>
                          <w:lang w:val="en-US"/>
                        </w:rPr>
                        <w:t>GEORGIAN  MEDICAL HOLDING</w:t>
                      </w:r>
                    </w:p>
                    <w:p w:rsidR="000E196F" w:rsidRDefault="000E196F" w:rsidP="00055F0C">
                      <w:pPr>
                        <w:jc w:val="center"/>
                        <w:rPr>
                          <w:sz w:val="22"/>
                          <w:szCs w:val="22"/>
                          <w:lang w:val="en-US"/>
                        </w:rPr>
                      </w:pPr>
                    </w:p>
                  </w:txbxContent>
                </v:textbox>
                <w10:wrap anchorx="page"/>
              </v:shape>
            </w:pict>
          </mc:Fallback>
        </mc:AlternateContent>
      </w:r>
    </w:p>
    <w:p w:rsidR="0053021C" w:rsidRDefault="0053021C" w:rsidP="00055F0C">
      <w:pPr>
        <w:tabs>
          <w:tab w:val="left" w:pos="0"/>
        </w:tabs>
        <w:autoSpaceDE w:val="0"/>
        <w:autoSpaceDN w:val="0"/>
        <w:adjustRightInd w:val="0"/>
        <w:ind w:right="-540"/>
        <w:rPr>
          <w:rFonts w:ascii="AcadNusx" w:hAnsi="AcadNusx"/>
          <w:noProof/>
          <w:lang w:val="en-US" w:eastAsia="en-US"/>
        </w:rPr>
      </w:pPr>
    </w:p>
    <w:p w:rsidR="0053021C" w:rsidRDefault="0053021C" w:rsidP="00055F0C">
      <w:pPr>
        <w:tabs>
          <w:tab w:val="left" w:pos="0"/>
        </w:tabs>
        <w:autoSpaceDE w:val="0"/>
        <w:autoSpaceDN w:val="0"/>
        <w:adjustRightInd w:val="0"/>
        <w:ind w:right="-540"/>
        <w:rPr>
          <w:rFonts w:ascii="AcadNusx" w:hAnsi="AcadNusx"/>
          <w:noProof/>
          <w:lang w:val="en-US" w:eastAsia="en-US"/>
        </w:rPr>
      </w:pPr>
    </w:p>
    <w:p w:rsidR="0053021C" w:rsidRPr="00655AAB" w:rsidRDefault="0053021C" w:rsidP="00055F0C">
      <w:pPr>
        <w:tabs>
          <w:tab w:val="left" w:pos="0"/>
        </w:tabs>
        <w:autoSpaceDE w:val="0"/>
        <w:autoSpaceDN w:val="0"/>
        <w:adjustRightInd w:val="0"/>
        <w:ind w:right="-540"/>
        <w:rPr>
          <w:rFonts w:ascii="AcadNusx" w:hAnsi="AcadNusx"/>
          <w:lang w:val="en-US"/>
        </w:rPr>
      </w:pPr>
    </w:p>
    <w:p w:rsidR="00283954" w:rsidRDefault="000E196F" w:rsidP="00283954">
      <w:pPr>
        <w:autoSpaceDE w:val="0"/>
        <w:autoSpaceDN w:val="0"/>
        <w:adjustRightInd w:val="0"/>
        <w:ind w:left="-90"/>
        <w:jc w:val="center"/>
        <w:rPr>
          <w:rFonts w:ascii="Sylfaen" w:hAnsi="Sylfaen"/>
          <w:sz w:val="16"/>
          <w:szCs w:val="12"/>
          <w:lang w:val="en-US"/>
        </w:rPr>
      </w:pPr>
      <w:r>
        <w:rPr>
          <w:rFonts w:ascii="Sylfaen" w:hAnsi="Sylfaen" w:cs="LitNusx"/>
          <w:color w:val="000000"/>
          <w:sz w:val="16"/>
          <w:szCs w:val="12"/>
          <w:lang w:val="ka-GE"/>
        </w:rPr>
        <w:t>საქართველო, თბილისი,</w:t>
      </w:r>
      <w:r w:rsidRPr="000E196F">
        <w:rPr>
          <w:rFonts w:ascii="Sylfaen" w:hAnsi="Sylfaen" w:cs="LitNusx"/>
          <w:color w:val="000000"/>
          <w:sz w:val="16"/>
          <w:szCs w:val="12"/>
          <w:lang w:val="fi-FI"/>
        </w:rPr>
        <w:t xml:space="preserve"> 0160, </w:t>
      </w:r>
      <w:r w:rsidRPr="000E196F">
        <w:rPr>
          <w:rFonts w:ascii="Sylfaen" w:hAnsi="Sylfaen" w:cs="LitNusx"/>
          <w:color w:val="000000"/>
          <w:sz w:val="16"/>
          <w:szCs w:val="12"/>
          <w:lang w:val="ka-GE"/>
        </w:rPr>
        <w:t xml:space="preserve">ფაქტობრივი მის: </w:t>
      </w:r>
      <w:r>
        <w:rPr>
          <w:rFonts w:ascii="Sylfaen" w:hAnsi="Sylfaen" w:cs="LitNusx"/>
          <w:color w:val="000000"/>
          <w:sz w:val="16"/>
          <w:szCs w:val="12"/>
          <w:lang w:val="ka-GE"/>
        </w:rPr>
        <w:t>ვაჟა–ფშაველას გამზ</w:t>
      </w:r>
      <w:r w:rsidRPr="000E196F">
        <w:rPr>
          <w:rFonts w:ascii="Sylfaen" w:hAnsi="Sylfaen" w:cs="LitNusx"/>
          <w:color w:val="000000"/>
          <w:sz w:val="16"/>
          <w:szCs w:val="12"/>
          <w:lang w:val="fi-FI"/>
        </w:rPr>
        <w:t xml:space="preserve">. </w:t>
      </w:r>
      <w:r>
        <w:rPr>
          <w:rFonts w:ascii="Sylfaen" w:hAnsi="Sylfaen"/>
          <w:color w:val="000000"/>
          <w:sz w:val="16"/>
          <w:szCs w:val="12"/>
          <w:lang w:val="en-US"/>
        </w:rPr>
        <w:t>29</w:t>
      </w:r>
      <w:r w:rsidRPr="000E196F">
        <w:rPr>
          <w:rFonts w:ascii="Sylfaen" w:hAnsi="Sylfaen"/>
          <w:color w:val="000000"/>
          <w:sz w:val="16"/>
          <w:szCs w:val="12"/>
          <w:lang w:val="en-US"/>
        </w:rPr>
        <w:t xml:space="preserve">, </w:t>
      </w:r>
      <w:r w:rsidRPr="000E196F">
        <w:rPr>
          <w:rFonts w:ascii="Sylfaen" w:hAnsi="Sylfaen"/>
          <w:sz w:val="16"/>
          <w:szCs w:val="12"/>
          <w:lang w:val="en-US"/>
        </w:rPr>
        <w:t>Vazha-Pshavela Ave., 0160 Tbilisi, Georgia.</w:t>
      </w:r>
      <w:r w:rsidR="008D3FB2">
        <w:rPr>
          <w:rFonts w:ascii="Sylfaen" w:hAnsi="Sylfaen"/>
          <w:sz w:val="16"/>
          <w:szCs w:val="12"/>
          <w:lang w:val="en-US"/>
        </w:rPr>
        <w:t xml:space="preserve"> </w:t>
      </w:r>
    </w:p>
    <w:p w:rsidR="00055F0C" w:rsidRDefault="008D3FB2" w:rsidP="00283954">
      <w:pPr>
        <w:autoSpaceDE w:val="0"/>
        <w:autoSpaceDN w:val="0"/>
        <w:adjustRightInd w:val="0"/>
        <w:ind w:left="-90"/>
        <w:jc w:val="center"/>
        <w:rPr>
          <w:rFonts w:ascii="Sylfaen" w:hAnsi="Sylfaen"/>
          <w:sz w:val="16"/>
          <w:szCs w:val="12"/>
          <w:lang w:val="en-US"/>
        </w:rPr>
      </w:pPr>
      <w:r>
        <w:rPr>
          <w:rFonts w:ascii="Sylfaen" w:hAnsi="Sylfaen"/>
          <w:sz w:val="16"/>
          <w:szCs w:val="12"/>
          <w:lang w:val="en-US"/>
        </w:rPr>
        <w:t xml:space="preserve">email: </w:t>
      </w:r>
      <w:hyperlink r:id="rId6" w:history="1">
        <w:r w:rsidR="00283954" w:rsidRPr="00CB11B7">
          <w:rPr>
            <w:rStyle w:val="Hyperlink"/>
            <w:rFonts w:ascii="Sylfaen" w:hAnsi="Sylfaen"/>
            <w:sz w:val="16"/>
            <w:szCs w:val="12"/>
            <w:lang w:val="en-US"/>
          </w:rPr>
          <w:t>georgianmedicalholding@gmail.com</w:t>
        </w:r>
      </w:hyperlink>
      <w:r w:rsidR="00283954">
        <w:rPr>
          <w:rFonts w:ascii="Sylfaen" w:hAnsi="Sylfaen"/>
          <w:sz w:val="16"/>
          <w:szCs w:val="12"/>
          <w:lang w:val="en-US"/>
        </w:rPr>
        <w:t xml:space="preserve"> </w:t>
      </w:r>
    </w:p>
    <w:p w:rsidR="00283954" w:rsidRPr="000E196F" w:rsidRDefault="00283954" w:rsidP="00283954">
      <w:pPr>
        <w:autoSpaceDE w:val="0"/>
        <w:autoSpaceDN w:val="0"/>
        <w:adjustRightInd w:val="0"/>
        <w:ind w:left="-90"/>
        <w:jc w:val="center"/>
        <w:rPr>
          <w:rFonts w:ascii="Sylfaen" w:hAnsi="Sylfaen"/>
          <w:sz w:val="16"/>
          <w:szCs w:val="16"/>
          <w:lang w:val="en-US"/>
        </w:rPr>
      </w:pPr>
    </w:p>
    <w:tbl>
      <w:tblPr>
        <w:tblW w:w="0" w:type="auto"/>
        <w:tblInd w:w="-102" w:type="dxa"/>
        <w:tblBorders>
          <w:top w:val="single" w:sz="4" w:space="0" w:color="auto"/>
        </w:tblBorders>
        <w:tblLook w:val="0000" w:firstRow="0" w:lastRow="0" w:firstColumn="0" w:lastColumn="0" w:noHBand="0" w:noVBand="0"/>
      </w:tblPr>
      <w:tblGrid>
        <w:gridCol w:w="10902"/>
      </w:tblGrid>
      <w:tr w:rsidR="00055F0C" w:rsidRPr="000E196F" w:rsidTr="00B10BD2">
        <w:trPr>
          <w:trHeight w:val="100"/>
        </w:trPr>
        <w:tc>
          <w:tcPr>
            <w:tcW w:w="10902" w:type="dxa"/>
            <w:tcBorders>
              <w:top w:val="thinThickThinSmallGap" w:sz="24" w:space="0" w:color="auto"/>
            </w:tcBorders>
          </w:tcPr>
          <w:p w:rsidR="00055F0C" w:rsidRPr="00655AAB" w:rsidRDefault="00055F0C" w:rsidP="00CF53D9">
            <w:pPr>
              <w:rPr>
                <w:rFonts w:ascii="AcadNusx" w:hAnsi="AcadNusx"/>
                <w:sz w:val="28"/>
                <w:szCs w:val="28"/>
                <w:lang w:val="de-AT"/>
              </w:rPr>
            </w:pPr>
          </w:p>
        </w:tc>
      </w:tr>
    </w:tbl>
    <w:p w:rsidR="00EA7291" w:rsidRDefault="00EA7291" w:rsidP="00EA7291">
      <w:pPr>
        <w:autoSpaceDE w:val="0"/>
        <w:autoSpaceDN w:val="0"/>
        <w:adjustRightInd w:val="0"/>
        <w:jc w:val="both"/>
        <w:rPr>
          <w:rFonts w:ascii="Sylfaen" w:hAnsi="Sylfaen"/>
          <w:i/>
          <w:sz w:val="20"/>
          <w:szCs w:val="20"/>
          <w:lang w:val="en-US"/>
        </w:rPr>
      </w:pPr>
      <w:r w:rsidRPr="00EA7291">
        <w:rPr>
          <w:rFonts w:ascii="Sylfaen" w:hAnsi="Sylfaen"/>
          <w:i/>
          <w:sz w:val="20"/>
          <w:szCs w:val="20"/>
          <w:lang w:val="en-US"/>
        </w:rPr>
        <w:t xml:space="preserve">Rotary Club </w:t>
      </w:r>
    </w:p>
    <w:p w:rsidR="00B10BD2" w:rsidRPr="00EA7291" w:rsidRDefault="00EA7291" w:rsidP="00EA7291">
      <w:pPr>
        <w:autoSpaceDE w:val="0"/>
        <w:autoSpaceDN w:val="0"/>
        <w:adjustRightInd w:val="0"/>
        <w:jc w:val="both"/>
        <w:rPr>
          <w:rFonts w:ascii="Sylfaen" w:hAnsi="Sylfaen"/>
          <w:i/>
          <w:sz w:val="20"/>
          <w:szCs w:val="20"/>
          <w:lang w:val="en-US"/>
        </w:rPr>
      </w:pPr>
      <w:r w:rsidRPr="00EA7291">
        <w:rPr>
          <w:rFonts w:ascii="Sylfaen" w:hAnsi="Sylfaen"/>
          <w:i/>
          <w:sz w:val="20"/>
          <w:szCs w:val="20"/>
          <w:lang w:val="en-US"/>
        </w:rPr>
        <w:t>Rotary Club Tbilisi Ambassador</w:t>
      </w:r>
    </w:p>
    <w:p w:rsidR="00EA7291" w:rsidRDefault="00EA7291" w:rsidP="00B10BD2">
      <w:pPr>
        <w:autoSpaceDE w:val="0"/>
        <w:autoSpaceDN w:val="0"/>
        <w:adjustRightInd w:val="0"/>
        <w:jc w:val="both"/>
        <w:rPr>
          <w:sz w:val="20"/>
          <w:szCs w:val="20"/>
        </w:rPr>
      </w:pPr>
    </w:p>
    <w:p w:rsidR="00EA7291" w:rsidRDefault="00EA7291" w:rsidP="00B10BD2">
      <w:pPr>
        <w:autoSpaceDE w:val="0"/>
        <w:autoSpaceDN w:val="0"/>
        <w:adjustRightInd w:val="0"/>
        <w:jc w:val="both"/>
        <w:rPr>
          <w:sz w:val="20"/>
          <w:szCs w:val="20"/>
        </w:rPr>
      </w:pPr>
    </w:p>
    <w:p w:rsidR="00B10BD2" w:rsidRPr="00EA7291" w:rsidRDefault="00B10BD2" w:rsidP="00B10BD2">
      <w:pPr>
        <w:autoSpaceDE w:val="0"/>
        <w:autoSpaceDN w:val="0"/>
        <w:adjustRightInd w:val="0"/>
        <w:jc w:val="both"/>
        <w:rPr>
          <w:sz w:val="20"/>
          <w:szCs w:val="20"/>
          <w:lang w:val="en-US"/>
        </w:rPr>
      </w:pPr>
      <w:r w:rsidRPr="00F5699C">
        <w:rPr>
          <w:sz w:val="20"/>
          <w:szCs w:val="20"/>
        </w:rPr>
        <w:t xml:space="preserve">First of all, I would like to express my gratitude for the support the </w:t>
      </w:r>
      <w:r w:rsidRPr="00B10BD2">
        <w:rPr>
          <w:sz w:val="20"/>
          <w:szCs w:val="20"/>
        </w:rPr>
        <w:t xml:space="preserve">Rotary Club </w:t>
      </w:r>
      <w:r>
        <w:rPr>
          <w:sz w:val="20"/>
          <w:szCs w:val="20"/>
          <w:lang w:val="en-US"/>
        </w:rPr>
        <w:t xml:space="preserve">and Rotary Club </w:t>
      </w:r>
      <w:r w:rsidRPr="00B10BD2">
        <w:rPr>
          <w:sz w:val="20"/>
          <w:szCs w:val="20"/>
          <w:lang w:val="en-US"/>
        </w:rPr>
        <w:t xml:space="preserve">Tbilisi Ambassador </w:t>
      </w:r>
      <w:r w:rsidRPr="00F5699C">
        <w:rPr>
          <w:sz w:val="20"/>
          <w:szCs w:val="20"/>
        </w:rPr>
        <w:t xml:space="preserve">provide to our country within the </w:t>
      </w:r>
      <w:r w:rsidR="00EA7291" w:rsidRPr="00EA7291">
        <w:rPr>
          <w:sz w:val="20"/>
          <w:szCs w:val="20"/>
        </w:rPr>
        <w:t>Global Grant #GG2012901</w:t>
      </w:r>
      <w:r w:rsidR="00EA7291">
        <w:rPr>
          <w:sz w:val="20"/>
          <w:szCs w:val="20"/>
          <w:lang w:val="en-US"/>
        </w:rPr>
        <w:t>.</w:t>
      </w:r>
    </w:p>
    <w:p w:rsidR="00B10BD2" w:rsidRPr="00F5699C" w:rsidRDefault="00B10BD2" w:rsidP="00B10BD2">
      <w:pPr>
        <w:autoSpaceDE w:val="0"/>
        <w:autoSpaceDN w:val="0"/>
        <w:adjustRightInd w:val="0"/>
        <w:jc w:val="both"/>
        <w:rPr>
          <w:sz w:val="20"/>
          <w:szCs w:val="20"/>
        </w:rPr>
      </w:pPr>
    </w:p>
    <w:p w:rsidR="00B10BD2" w:rsidRPr="00F5699C" w:rsidRDefault="00B10BD2" w:rsidP="00B10BD2">
      <w:pPr>
        <w:autoSpaceDE w:val="0"/>
        <w:autoSpaceDN w:val="0"/>
        <w:adjustRightInd w:val="0"/>
        <w:jc w:val="both"/>
        <w:rPr>
          <w:sz w:val="20"/>
          <w:szCs w:val="20"/>
        </w:rPr>
      </w:pPr>
      <w:r w:rsidRPr="00F5699C">
        <w:rPr>
          <w:sz w:val="20"/>
          <w:szCs w:val="20"/>
        </w:rPr>
        <w:t>In Accordance to the Resolution of the Government of Georgia of March 23, 2020, №184 government-owned Ltd. "Academician N. Kipshidze Central University Clinic“</w:t>
      </w:r>
      <w:r>
        <w:rPr>
          <w:sz w:val="20"/>
          <w:szCs w:val="20"/>
          <w:vertAlign w:val="superscript"/>
          <w:lang w:val="en-US"/>
        </w:rPr>
        <w:t>*</w:t>
      </w:r>
      <w:r w:rsidRPr="00F5699C">
        <w:rPr>
          <w:sz w:val="20"/>
          <w:szCs w:val="20"/>
        </w:rPr>
        <w:t xml:space="preserve"> was instructed to use the land plot registered at the cadastral code of the land (real estate) №43.10.42.174  (address: Zugdidi Municipality, Rukhi village, including the registered land to the facility) to manage the infection (COVID-19). Rukhi Republican Hospital located on the transferred real estate was in a form of a building only, which was completely unequipped. </w:t>
      </w:r>
    </w:p>
    <w:p w:rsidR="00B10BD2" w:rsidRPr="00F5699C" w:rsidRDefault="00B10BD2" w:rsidP="00B10BD2">
      <w:pPr>
        <w:autoSpaceDE w:val="0"/>
        <w:autoSpaceDN w:val="0"/>
        <w:adjustRightInd w:val="0"/>
        <w:jc w:val="both"/>
        <w:rPr>
          <w:sz w:val="20"/>
          <w:szCs w:val="20"/>
        </w:rPr>
      </w:pPr>
    </w:p>
    <w:p w:rsidR="00B10BD2" w:rsidRPr="00F5699C" w:rsidRDefault="00B10BD2" w:rsidP="00B10BD2">
      <w:pPr>
        <w:autoSpaceDE w:val="0"/>
        <w:autoSpaceDN w:val="0"/>
        <w:adjustRightInd w:val="0"/>
        <w:jc w:val="both"/>
        <w:rPr>
          <w:sz w:val="20"/>
          <w:szCs w:val="20"/>
        </w:rPr>
      </w:pPr>
      <w:r w:rsidRPr="00F5699C">
        <w:rPr>
          <w:sz w:val="20"/>
          <w:szCs w:val="20"/>
        </w:rPr>
        <w:t>During this time, using various financial resources, the Rukhi Republican Hospital – branch of Academician N. Kipshidze Central University Clinic in Samegrelo-Zemo Svaneti Region – has been maintained to the point where it can perform the function of a fever center, thus accepting patients with mil</w:t>
      </w:r>
      <w:r w:rsidR="00C6799C">
        <w:rPr>
          <w:sz w:val="20"/>
          <w:szCs w:val="20"/>
        </w:rPr>
        <w:t xml:space="preserve">d to moderate COVID-19 symptoms. </w:t>
      </w:r>
      <w:r w:rsidR="00C6799C" w:rsidRPr="00C6799C">
        <w:rPr>
          <w:sz w:val="20"/>
          <w:szCs w:val="20"/>
        </w:rPr>
        <w:t>Besides, the clinic performs its main duty - treating a COVID confirmed patient</w:t>
      </w:r>
      <w:r w:rsidR="00C6799C">
        <w:rPr>
          <w:rFonts w:ascii="Sylfaen" w:hAnsi="Sylfaen"/>
          <w:sz w:val="20"/>
          <w:szCs w:val="20"/>
          <w:lang w:val="en-US"/>
        </w:rPr>
        <w:t>s</w:t>
      </w:r>
      <w:r w:rsidR="00C6799C" w:rsidRPr="00C6799C">
        <w:rPr>
          <w:sz w:val="20"/>
          <w:szCs w:val="20"/>
        </w:rPr>
        <w:t>.</w:t>
      </w:r>
      <w:r w:rsidRPr="00F5699C">
        <w:rPr>
          <w:sz w:val="20"/>
          <w:szCs w:val="20"/>
        </w:rPr>
        <w:t xml:space="preserve"> The clinic was able to receive the first patients on April 23, 2020. The building, in case of availability of relevant inventory, has the capacity to operate 220 beds.</w:t>
      </w:r>
    </w:p>
    <w:p w:rsidR="00B10BD2" w:rsidRPr="00F5699C" w:rsidRDefault="00B10BD2" w:rsidP="00B10BD2">
      <w:pPr>
        <w:autoSpaceDE w:val="0"/>
        <w:autoSpaceDN w:val="0"/>
        <w:adjustRightInd w:val="0"/>
        <w:jc w:val="both"/>
        <w:rPr>
          <w:sz w:val="20"/>
          <w:szCs w:val="20"/>
        </w:rPr>
      </w:pPr>
    </w:p>
    <w:p w:rsidR="00B10BD2" w:rsidRPr="00F5699C" w:rsidRDefault="00B10BD2" w:rsidP="00B10BD2">
      <w:pPr>
        <w:autoSpaceDE w:val="0"/>
        <w:autoSpaceDN w:val="0"/>
        <w:adjustRightInd w:val="0"/>
        <w:jc w:val="both"/>
        <w:rPr>
          <w:sz w:val="20"/>
          <w:szCs w:val="20"/>
        </w:rPr>
      </w:pPr>
      <w:r w:rsidRPr="00F5699C">
        <w:rPr>
          <w:sz w:val="20"/>
          <w:szCs w:val="20"/>
        </w:rPr>
        <w:t xml:space="preserve">It is important to take into account the fact that Rukhi Republican Hospital is the only clinic in Samegrelo-Zemo Svaneti region involved in managing the COVID-19 pandemic. At the same time, the location of the clinic is of special importance in the occupied territory of Abkhazia due to the physical proximity to the so-called border. With the critically high rate of COVID-19 infection recorded in occupied Abkhazia, Georgian citizens living in this area are deprived of the opportunity to receive quality medical care, which is why the number of patients from these areas is high. </w:t>
      </w:r>
    </w:p>
    <w:p w:rsidR="00B10BD2" w:rsidRPr="00F5699C" w:rsidRDefault="00B10BD2" w:rsidP="00B10BD2">
      <w:pPr>
        <w:autoSpaceDE w:val="0"/>
        <w:autoSpaceDN w:val="0"/>
        <w:adjustRightInd w:val="0"/>
        <w:jc w:val="both"/>
        <w:rPr>
          <w:sz w:val="20"/>
          <w:szCs w:val="20"/>
        </w:rPr>
      </w:pPr>
    </w:p>
    <w:p w:rsidR="00B10BD2" w:rsidRDefault="00A23155" w:rsidP="00B10BD2">
      <w:pPr>
        <w:autoSpaceDE w:val="0"/>
        <w:autoSpaceDN w:val="0"/>
        <w:adjustRightInd w:val="0"/>
        <w:jc w:val="both"/>
        <w:rPr>
          <w:sz w:val="20"/>
          <w:szCs w:val="20"/>
        </w:rPr>
      </w:pPr>
      <w:r w:rsidRPr="00A23155">
        <w:rPr>
          <w:sz w:val="20"/>
          <w:szCs w:val="20"/>
        </w:rPr>
        <w:t>Considering its importance in managing COVID-19 pandemic, Rukhi Republican Hospital requires Mobile X-Ray Digital Unit, as all patients, including critically ill patients frequently need due to the constant evolution of their clinical conditions.</w:t>
      </w:r>
    </w:p>
    <w:p w:rsidR="00A23155" w:rsidRPr="00F5699C" w:rsidRDefault="00A23155" w:rsidP="00B10BD2">
      <w:pPr>
        <w:autoSpaceDE w:val="0"/>
        <w:autoSpaceDN w:val="0"/>
        <w:adjustRightInd w:val="0"/>
        <w:jc w:val="both"/>
        <w:rPr>
          <w:sz w:val="20"/>
          <w:szCs w:val="20"/>
        </w:rPr>
      </w:pPr>
    </w:p>
    <w:p w:rsidR="00B10BD2" w:rsidRPr="00F5699C" w:rsidRDefault="00B10BD2" w:rsidP="00B10BD2">
      <w:pPr>
        <w:autoSpaceDE w:val="0"/>
        <w:autoSpaceDN w:val="0"/>
        <w:adjustRightInd w:val="0"/>
        <w:jc w:val="both"/>
        <w:rPr>
          <w:sz w:val="20"/>
          <w:szCs w:val="20"/>
        </w:rPr>
      </w:pPr>
      <w:r w:rsidRPr="00F5699C">
        <w:rPr>
          <w:sz w:val="20"/>
          <w:szCs w:val="20"/>
        </w:rPr>
        <w:t>In case of receiving the proposed medical equipment, the clinic will be able to receive not only the patients, including from the occupied territories, with light and moderate symptoms, but also to treat severe and critically severe patients. Since local medical facilities are of great importance from the epidemiological point of view to prevent further spread of infection, the full equipment and maintenance of the Rukhi Republican Hospital will make it possible to treat patients living in Samegrelo-Zemo Svaneti region, as well as the patients living across the so-called border with occupied Abkhazia.</w:t>
      </w:r>
    </w:p>
    <w:p w:rsidR="00B10BD2" w:rsidRPr="00F5699C" w:rsidRDefault="00B10BD2" w:rsidP="00B10BD2">
      <w:pPr>
        <w:autoSpaceDE w:val="0"/>
        <w:autoSpaceDN w:val="0"/>
        <w:adjustRightInd w:val="0"/>
        <w:jc w:val="both"/>
        <w:rPr>
          <w:sz w:val="20"/>
          <w:szCs w:val="20"/>
        </w:rPr>
      </w:pPr>
    </w:p>
    <w:p w:rsidR="00B10BD2" w:rsidRPr="00F5699C" w:rsidRDefault="00B10BD2" w:rsidP="00B10BD2">
      <w:pPr>
        <w:autoSpaceDE w:val="0"/>
        <w:autoSpaceDN w:val="0"/>
        <w:adjustRightInd w:val="0"/>
        <w:jc w:val="both"/>
        <w:rPr>
          <w:sz w:val="20"/>
          <w:szCs w:val="20"/>
        </w:rPr>
      </w:pPr>
      <w:r w:rsidRPr="00F5699C">
        <w:rPr>
          <w:sz w:val="20"/>
          <w:szCs w:val="20"/>
        </w:rPr>
        <w:t>Donated equipment will be owned by the Rukhi Republican Hospital and the hospital will cover the maintenance and other related fees</w:t>
      </w:r>
      <w:r w:rsidR="00E81173">
        <w:rPr>
          <w:sz w:val="20"/>
          <w:szCs w:val="20"/>
          <w:lang w:val="en-US"/>
        </w:rPr>
        <w:t>, after two years</w:t>
      </w:r>
      <w:r w:rsidRPr="00F5699C">
        <w:rPr>
          <w:sz w:val="20"/>
          <w:szCs w:val="20"/>
        </w:rPr>
        <w:t>.</w:t>
      </w:r>
    </w:p>
    <w:p w:rsidR="00B10BD2" w:rsidRPr="002F1267" w:rsidRDefault="00B10BD2" w:rsidP="00B10BD2">
      <w:pPr>
        <w:autoSpaceDE w:val="0"/>
        <w:autoSpaceDN w:val="0"/>
        <w:adjustRightInd w:val="0"/>
        <w:rPr>
          <w:sz w:val="20"/>
          <w:szCs w:val="20"/>
        </w:rPr>
      </w:pPr>
      <w:r w:rsidRPr="00F5699C">
        <w:rPr>
          <w:sz w:val="20"/>
          <w:szCs w:val="20"/>
        </w:rPr>
        <w:t xml:space="preserve"> </w:t>
      </w:r>
    </w:p>
    <w:p w:rsidR="00B10BD2" w:rsidRPr="002F1267" w:rsidRDefault="00B10BD2" w:rsidP="00B10BD2">
      <w:pPr>
        <w:autoSpaceDE w:val="0"/>
        <w:autoSpaceDN w:val="0"/>
        <w:adjustRightInd w:val="0"/>
        <w:rPr>
          <w:sz w:val="20"/>
          <w:szCs w:val="20"/>
        </w:rPr>
      </w:pPr>
      <w:r w:rsidRPr="002F1267">
        <w:rPr>
          <w:sz w:val="20"/>
          <w:szCs w:val="20"/>
        </w:rPr>
        <w:t>Sincerely,</w:t>
      </w:r>
    </w:p>
    <w:p w:rsidR="00B10BD2" w:rsidRPr="002F1267" w:rsidRDefault="00B10BD2" w:rsidP="00B10BD2">
      <w:pPr>
        <w:autoSpaceDE w:val="0"/>
        <w:autoSpaceDN w:val="0"/>
        <w:adjustRightInd w:val="0"/>
        <w:rPr>
          <w:sz w:val="20"/>
          <w:szCs w:val="20"/>
        </w:rPr>
      </w:pPr>
    </w:p>
    <w:p w:rsidR="00B10BD2" w:rsidRDefault="00B10BD2" w:rsidP="00B10BD2">
      <w:pPr>
        <w:autoSpaceDE w:val="0"/>
        <w:autoSpaceDN w:val="0"/>
        <w:adjustRightInd w:val="0"/>
        <w:rPr>
          <w:sz w:val="20"/>
          <w:szCs w:val="20"/>
          <w:lang w:val="en-GB"/>
        </w:rPr>
      </w:pPr>
      <w:r>
        <w:rPr>
          <w:sz w:val="20"/>
          <w:szCs w:val="20"/>
          <w:lang w:val="en-GB"/>
        </w:rPr>
        <w:t>Georgian Medical Holding</w:t>
      </w:r>
    </w:p>
    <w:p w:rsidR="00B10BD2" w:rsidRDefault="00B10BD2" w:rsidP="00B10BD2">
      <w:pPr>
        <w:autoSpaceDE w:val="0"/>
        <w:autoSpaceDN w:val="0"/>
        <w:adjustRightInd w:val="0"/>
        <w:rPr>
          <w:sz w:val="20"/>
          <w:szCs w:val="20"/>
        </w:rPr>
      </w:pPr>
    </w:p>
    <w:p w:rsidR="00B10BD2" w:rsidRDefault="00B10BD2" w:rsidP="00B10BD2">
      <w:pPr>
        <w:autoSpaceDE w:val="0"/>
        <w:autoSpaceDN w:val="0"/>
        <w:adjustRightInd w:val="0"/>
        <w:rPr>
          <w:sz w:val="20"/>
          <w:szCs w:val="20"/>
        </w:rPr>
      </w:pPr>
      <w:r>
        <w:rPr>
          <w:sz w:val="20"/>
          <w:szCs w:val="20"/>
          <w:lang w:val="en-US"/>
        </w:rPr>
        <w:t>George Chogovadze</w:t>
      </w:r>
    </w:p>
    <w:p w:rsidR="00B10BD2" w:rsidRPr="002F1267" w:rsidRDefault="00B10BD2" w:rsidP="00B10BD2">
      <w:pPr>
        <w:autoSpaceDE w:val="0"/>
        <w:autoSpaceDN w:val="0"/>
        <w:adjustRightInd w:val="0"/>
        <w:rPr>
          <w:sz w:val="20"/>
          <w:szCs w:val="20"/>
        </w:rPr>
      </w:pPr>
    </w:p>
    <w:p w:rsidR="00B10BD2" w:rsidRDefault="00B10BD2" w:rsidP="00B10BD2">
      <w:pPr>
        <w:autoSpaceDE w:val="0"/>
        <w:autoSpaceDN w:val="0"/>
        <w:adjustRightInd w:val="0"/>
        <w:rPr>
          <w:sz w:val="20"/>
          <w:szCs w:val="20"/>
        </w:rPr>
      </w:pPr>
      <w:r w:rsidRPr="002F1267">
        <w:rPr>
          <w:sz w:val="20"/>
          <w:szCs w:val="20"/>
        </w:rPr>
        <w:t>____</w:t>
      </w:r>
      <w:r>
        <w:rPr>
          <w:sz w:val="20"/>
          <w:szCs w:val="20"/>
        </w:rPr>
        <w:t>_________________________________</w:t>
      </w:r>
      <w:r w:rsidRPr="002F1267">
        <w:rPr>
          <w:sz w:val="20"/>
          <w:szCs w:val="20"/>
        </w:rPr>
        <w:t>___</w:t>
      </w:r>
      <w:r>
        <w:rPr>
          <w:sz w:val="20"/>
          <w:szCs w:val="20"/>
        </w:rPr>
        <w:t>__________</w:t>
      </w:r>
      <w:r w:rsidRPr="002F1267">
        <w:rPr>
          <w:sz w:val="20"/>
          <w:szCs w:val="20"/>
        </w:rPr>
        <w:t>___</w:t>
      </w:r>
      <w:r>
        <w:rPr>
          <w:sz w:val="20"/>
          <w:szCs w:val="20"/>
        </w:rPr>
        <w:t>_</w:t>
      </w:r>
    </w:p>
    <w:p w:rsidR="00B10BD2" w:rsidRDefault="00B10BD2" w:rsidP="00B10BD2">
      <w:pPr>
        <w:autoSpaceDE w:val="0"/>
        <w:autoSpaceDN w:val="0"/>
        <w:adjustRightInd w:val="0"/>
        <w:rPr>
          <w:sz w:val="20"/>
          <w:szCs w:val="20"/>
          <w:lang w:val="en-US"/>
        </w:rPr>
      </w:pPr>
    </w:p>
    <w:p w:rsidR="00B10BD2" w:rsidRPr="00B10BD2" w:rsidRDefault="00B10BD2" w:rsidP="00B10BD2">
      <w:pPr>
        <w:autoSpaceDE w:val="0"/>
        <w:autoSpaceDN w:val="0"/>
        <w:adjustRightInd w:val="0"/>
        <w:rPr>
          <w:sz w:val="20"/>
          <w:szCs w:val="20"/>
          <w:lang w:val="en-US"/>
        </w:rPr>
      </w:pPr>
      <w:r>
        <w:rPr>
          <w:sz w:val="20"/>
          <w:szCs w:val="20"/>
          <w:lang w:val="en-US"/>
        </w:rPr>
        <w:t>Director</w:t>
      </w:r>
      <w:r>
        <w:rPr>
          <w:sz w:val="20"/>
          <w:szCs w:val="20"/>
        </w:rPr>
        <w:t xml:space="preserve"> </w:t>
      </w:r>
    </w:p>
    <w:p w:rsidR="00B10BD2" w:rsidRDefault="00B10BD2" w:rsidP="00B10BD2">
      <w:pPr>
        <w:pStyle w:val="Footer"/>
        <w:rPr>
          <w:rFonts w:ascii="Times New Roman" w:hAnsi="Times New Roman" w:cs="Times New Roman"/>
          <w:sz w:val="20"/>
          <w:szCs w:val="20"/>
        </w:rPr>
      </w:pPr>
    </w:p>
    <w:p w:rsidR="00766277" w:rsidRDefault="007C0A98" w:rsidP="00B10BD2">
      <w:pPr>
        <w:jc w:val="both"/>
        <w:rPr>
          <w:sz w:val="20"/>
          <w:szCs w:val="20"/>
          <w:lang w:val="en-US"/>
        </w:rPr>
      </w:pPr>
      <w:r>
        <w:rPr>
          <w:sz w:val="20"/>
          <w:szCs w:val="20"/>
          <w:lang w:val="en-US"/>
        </w:rPr>
        <w:t>08</w:t>
      </w:r>
      <w:bookmarkStart w:id="0" w:name="_GoBack"/>
      <w:bookmarkEnd w:id="0"/>
      <w:r w:rsidR="00EA7291">
        <w:rPr>
          <w:sz w:val="20"/>
          <w:szCs w:val="20"/>
          <w:lang w:val="en-US"/>
        </w:rPr>
        <w:t>.0</w:t>
      </w:r>
      <w:r w:rsidR="004106D5">
        <w:rPr>
          <w:sz w:val="20"/>
          <w:szCs w:val="20"/>
          <w:lang w:val="en-US"/>
        </w:rPr>
        <w:t>7</w:t>
      </w:r>
      <w:r w:rsidR="00B10BD2">
        <w:rPr>
          <w:sz w:val="20"/>
          <w:szCs w:val="20"/>
          <w:lang w:val="en-US"/>
        </w:rPr>
        <w:t>.2020</w:t>
      </w:r>
    </w:p>
    <w:p w:rsidR="00B10BD2" w:rsidRDefault="00B10BD2" w:rsidP="00B10BD2">
      <w:pPr>
        <w:jc w:val="both"/>
        <w:rPr>
          <w:sz w:val="20"/>
          <w:szCs w:val="20"/>
          <w:lang w:val="en-US"/>
        </w:rPr>
      </w:pPr>
    </w:p>
    <w:p w:rsidR="00EA7291" w:rsidRDefault="00EA7291" w:rsidP="00B10BD2">
      <w:pPr>
        <w:jc w:val="both"/>
        <w:rPr>
          <w:sz w:val="20"/>
          <w:szCs w:val="20"/>
          <w:lang w:val="en-US"/>
        </w:rPr>
      </w:pPr>
    </w:p>
    <w:p w:rsidR="00EA7291" w:rsidRDefault="00EA7291" w:rsidP="00B10BD2">
      <w:pPr>
        <w:jc w:val="both"/>
        <w:rPr>
          <w:sz w:val="20"/>
          <w:szCs w:val="20"/>
          <w:lang w:val="en-US"/>
        </w:rPr>
      </w:pPr>
    </w:p>
    <w:p w:rsidR="00B10BD2" w:rsidRDefault="00B10BD2" w:rsidP="00B10BD2">
      <w:pPr>
        <w:jc w:val="both"/>
        <w:rPr>
          <w:sz w:val="20"/>
          <w:szCs w:val="20"/>
          <w:lang w:val="en-US"/>
        </w:rPr>
      </w:pPr>
    </w:p>
    <w:p w:rsidR="00EA7291" w:rsidRDefault="00EA7291">
      <w:r>
        <w:rPr>
          <w:rFonts w:ascii="Sylfaen" w:hAnsi="Sylfaen"/>
          <w:sz w:val="18"/>
          <w:szCs w:val="18"/>
          <w:lang w:val="ka-GE"/>
        </w:rPr>
        <w:t>______________________________________________________</w:t>
      </w:r>
    </w:p>
    <w:p w:rsidR="00B10BD2" w:rsidRPr="00EA7291" w:rsidRDefault="00B10BD2" w:rsidP="00EA7291">
      <w:pPr>
        <w:pStyle w:val="ListParagraph"/>
        <w:numPr>
          <w:ilvl w:val="0"/>
          <w:numId w:val="1"/>
        </w:numPr>
        <w:autoSpaceDE w:val="0"/>
        <w:autoSpaceDN w:val="0"/>
        <w:adjustRightInd w:val="0"/>
        <w:jc w:val="both"/>
        <w:rPr>
          <w:rFonts w:ascii="Sylfaen" w:hAnsi="Sylfaen"/>
          <w:lang w:val="ka-GE"/>
        </w:rPr>
      </w:pPr>
      <w:r w:rsidRPr="00EA7291">
        <w:rPr>
          <w:rFonts w:ascii="Sylfaen" w:hAnsi="Sylfaen"/>
          <w:sz w:val="18"/>
          <w:szCs w:val="18"/>
          <w:lang w:val="ka-GE"/>
        </w:rPr>
        <w:t>Please be informed that the legal status of the clinic is LTD, but the state owns 100% of it. At the same time, the right to manage the 100% share of the clinic has been transferred to an organization with the status of a non-profit legal entity - Georgian Medical Holding</w:t>
      </w:r>
    </w:p>
    <w:sectPr w:rsidR="00B10BD2" w:rsidRPr="00EA7291" w:rsidSect="008D3FB2">
      <w:pgSz w:w="11906" w:h="16838"/>
      <w:pgMar w:top="540" w:right="386"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Acad Nusx"/>
    <w:panose1 w:val="00000000000000000000"/>
    <w:charset w:val="00"/>
    <w:family w:val="auto"/>
    <w:pitch w:val="variable"/>
    <w:sig w:usb0="00000087" w:usb1="00000000" w:usb2="00000000" w:usb3="00000000" w:csb0="0000001B" w:csb1="00000000"/>
  </w:font>
  <w:font w:name="LitMtavrPS">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4A8"/>
    <w:multiLevelType w:val="hybridMultilevel"/>
    <w:tmpl w:val="F62EFD4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44"/>
    <w:rsid w:val="00024A24"/>
    <w:rsid w:val="00040B5A"/>
    <w:rsid w:val="0004332F"/>
    <w:rsid w:val="00055F0C"/>
    <w:rsid w:val="00057A86"/>
    <w:rsid w:val="00060164"/>
    <w:rsid w:val="0008693B"/>
    <w:rsid w:val="000A78D1"/>
    <w:rsid w:val="000E196F"/>
    <w:rsid w:val="000F44E2"/>
    <w:rsid w:val="001153D7"/>
    <w:rsid w:val="00122ED3"/>
    <w:rsid w:val="00140C6B"/>
    <w:rsid w:val="00152BCD"/>
    <w:rsid w:val="00156899"/>
    <w:rsid w:val="0018704E"/>
    <w:rsid w:val="001A1C6F"/>
    <w:rsid w:val="001B0673"/>
    <w:rsid w:val="001B5AA3"/>
    <w:rsid w:val="001B7FCE"/>
    <w:rsid w:val="001C088D"/>
    <w:rsid w:val="001D5291"/>
    <w:rsid w:val="00224F20"/>
    <w:rsid w:val="00231466"/>
    <w:rsid w:val="00271A52"/>
    <w:rsid w:val="00283954"/>
    <w:rsid w:val="0029004B"/>
    <w:rsid w:val="00293382"/>
    <w:rsid w:val="002A6DFC"/>
    <w:rsid w:val="002B3B94"/>
    <w:rsid w:val="002C309A"/>
    <w:rsid w:val="002C40A5"/>
    <w:rsid w:val="002E2573"/>
    <w:rsid w:val="002F30C7"/>
    <w:rsid w:val="003148B6"/>
    <w:rsid w:val="0032376A"/>
    <w:rsid w:val="00340F3F"/>
    <w:rsid w:val="00351076"/>
    <w:rsid w:val="00374C58"/>
    <w:rsid w:val="00385212"/>
    <w:rsid w:val="00394AD0"/>
    <w:rsid w:val="003D3060"/>
    <w:rsid w:val="0040115E"/>
    <w:rsid w:val="004106D5"/>
    <w:rsid w:val="00414A33"/>
    <w:rsid w:val="00433BCF"/>
    <w:rsid w:val="00435F17"/>
    <w:rsid w:val="00436DF8"/>
    <w:rsid w:val="00442C44"/>
    <w:rsid w:val="00447046"/>
    <w:rsid w:val="00453202"/>
    <w:rsid w:val="004544B4"/>
    <w:rsid w:val="00481FD8"/>
    <w:rsid w:val="004B5974"/>
    <w:rsid w:val="004B6328"/>
    <w:rsid w:val="004C1F15"/>
    <w:rsid w:val="004E50A4"/>
    <w:rsid w:val="004F5E8E"/>
    <w:rsid w:val="00506CC7"/>
    <w:rsid w:val="00513A21"/>
    <w:rsid w:val="0053021C"/>
    <w:rsid w:val="00531834"/>
    <w:rsid w:val="005440CD"/>
    <w:rsid w:val="00591FF1"/>
    <w:rsid w:val="00592123"/>
    <w:rsid w:val="00592706"/>
    <w:rsid w:val="005959F3"/>
    <w:rsid w:val="005A1382"/>
    <w:rsid w:val="005C2748"/>
    <w:rsid w:val="005D1A47"/>
    <w:rsid w:val="006078E7"/>
    <w:rsid w:val="006255E9"/>
    <w:rsid w:val="0063393F"/>
    <w:rsid w:val="00650477"/>
    <w:rsid w:val="00682FE3"/>
    <w:rsid w:val="0068434E"/>
    <w:rsid w:val="006E2869"/>
    <w:rsid w:val="00700D09"/>
    <w:rsid w:val="0071163D"/>
    <w:rsid w:val="007531FA"/>
    <w:rsid w:val="007573ED"/>
    <w:rsid w:val="00760F76"/>
    <w:rsid w:val="00766277"/>
    <w:rsid w:val="007706BD"/>
    <w:rsid w:val="00777212"/>
    <w:rsid w:val="007A55C3"/>
    <w:rsid w:val="007B5893"/>
    <w:rsid w:val="007C0A98"/>
    <w:rsid w:val="007D5F03"/>
    <w:rsid w:val="007E5BDC"/>
    <w:rsid w:val="007F2DFB"/>
    <w:rsid w:val="007F39B1"/>
    <w:rsid w:val="0080440A"/>
    <w:rsid w:val="00823EE8"/>
    <w:rsid w:val="00834162"/>
    <w:rsid w:val="008423B2"/>
    <w:rsid w:val="00882E79"/>
    <w:rsid w:val="00884A79"/>
    <w:rsid w:val="008B374C"/>
    <w:rsid w:val="008B3B92"/>
    <w:rsid w:val="008B3F29"/>
    <w:rsid w:val="008D3FB2"/>
    <w:rsid w:val="009014D3"/>
    <w:rsid w:val="00910D89"/>
    <w:rsid w:val="00915F18"/>
    <w:rsid w:val="009316F2"/>
    <w:rsid w:val="00944474"/>
    <w:rsid w:val="00944DB9"/>
    <w:rsid w:val="00945D4E"/>
    <w:rsid w:val="009549FA"/>
    <w:rsid w:val="00964A64"/>
    <w:rsid w:val="009C236A"/>
    <w:rsid w:val="009D1C4F"/>
    <w:rsid w:val="009D2E70"/>
    <w:rsid w:val="00A0124E"/>
    <w:rsid w:val="00A12346"/>
    <w:rsid w:val="00A12DC5"/>
    <w:rsid w:val="00A23155"/>
    <w:rsid w:val="00A3615B"/>
    <w:rsid w:val="00A50153"/>
    <w:rsid w:val="00A55617"/>
    <w:rsid w:val="00A847BA"/>
    <w:rsid w:val="00A87020"/>
    <w:rsid w:val="00A900F8"/>
    <w:rsid w:val="00AA3991"/>
    <w:rsid w:val="00AB250C"/>
    <w:rsid w:val="00AC0968"/>
    <w:rsid w:val="00AC14FB"/>
    <w:rsid w:val="00AC162E"/>
    <w:rsid w:val="00AC7671"/>
    <w:rsid w:val="00AE10DE"/>
    <w:rsid w:val="00AF1E89"/>
    <w:rsid w:val="00AF47D4"/>
    <w:rsid w:val="00B00F76"/>
    <w:rsid w:val="00B016E0"/>
    <w:rsid w:val="00B027C8"/>
    <w:rsid w:val="00B05397"/>
    <w:rsid w:val="00B0597C"/>
    <w:rsid w:val="00B10BD2"/>
    <w:rsid w:val="00B14E9F"/>
    <w:rsid w:val="00B17AF3"/>
    <w:rsid w:val="00B24312"/>
    <w:rsid w:val="00B50016"/>
    <w:rsid w:val="00B608D4"/>
    <w:rsid w:val="00B71CB4"/>
    <w:rsid w:val="00B729B9"/>
    <w:rsid w:val="00B748BF"/>
    <w:rsid w:val="00B77113"/>
    <w:rsid w:val="00B83A07"/>
    <w:rsid w:val="00BA0940"/>
    <w:rsid w:val="00BB0448"/>
    <w:rsid w:val="00BC7DDB"/>
    <w:rsid w:val="00BD4054"/>
    <w:rsid w:val="00BD60CC"/>
    <w:rsid w:val="00BE12C3"/>
    <w:rsid w:val="00C01BB1"/>
    <w:rsid w:val="00C210CE"/>
    <w:rsid w:val="00C2147E"/>
    <w:rsid w:val="00C2449A"/>
    <w:rsid w:val="00C35352"/>
    <w:rsid w:val="00C603FA"/>
    <w:rsid w:val="00C6639C"/>
    <w:rsid w:val="00C6799C"/>
    <w:rsid w:val="00C85550"/>
    <w:rsid w:val="00CD7366"/>
    <w:rsid w:val="00D0228C"/>
    <w:rsid w:val="00D15697"/>
    <w:rsid w:val="00D22978"/>
    <w:rsid w:val="00D43F86"/>
    <w:rsid w:val="00D75E3E"/>
    <w:rsid w:val="00D85FCA"/>
    <w:rsid w:val="00DA0C43"/>
    <w:rsid w:val="00DA3713"/>
    <w:rsid w:val="00DB50CE"/>
    <w:rsid w:val="00DE6BA2"/>
    <w:rsid w:val="00E55058"/>
    <w:rsid w:val="00E6335D"/>
    <w:rsid w:val="00E727DB"/>
    <w:rsid w:val="00E81173"/>
    <w:rsid w:val="00EA7291"/>
    <w:rsid w:val="00ED47F8"/>
    <w:rsid w:val="00EF06BB"/>
    <w:rsid w:val="00EF714A"/>
    <w:rsid w:val="00F03020"/>
    <w:rsid w:val="00F52099"/>
    <w:rsid w:val="00F543A5"/>
    <w:rsid w:val="00F646A9"/>
    <w:rsid w:val="00FA5C4D"/>
    <w:rsid w:val="00FA7038"/>
    <w:rsid w:val="00FB1A52"/>
    <w:rsid w:val="00FC65D1"/>
    <w:rsid w:val="00FE5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56F"/>
  <w15:docId w15:val="{6949A034-907B-4BF8-9AA3-62F70A7B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F0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5F0C"/>
    <w:rPr>
      <w:color w:val="0000FF"/>
      <w:u w:val="single"/>
    </w:rPr>
  </w:style>
  <w:style w:type="paragraph" w:styleId="BalloonText">
    <w:name w:val="Balloon Text"/>
    <w:basedOn w:val="Normal"/>
    <w:link w:val="BalloonTextChar"/>
    <w:uiPriority w:val="99"/>
    <w:semiHidden/>
    <w:unhideWhenUsed/>
    <w:rsid w:val="00414A33"/>
    <w:rPr>
      <w:rFonts w:ascii="Tahoma" w:hAnsi="Tahoma" w:cs="Tahoma"/>
      <w:sz w:val="16"/>
      <w:szCs w:val="16"/>
    </w:rPr>
  </w:style>
  <w:style w:type="character" w:customStyle="1" w:styleId="BalloonTextChar">
    <w:name w:val="Balloon Text Char"/>
    <w:basedOn w:val="DefaultParagraphFont"/>
    <w:link w:val="BalloonText"/>
    <w:uiPriority w:val="99"/>
    <w:semiHidden/>
    <w:rsid w:val="00414A33"/>
    <w:rPr>
      <w:rFonts w:ascii="Tahoma" w:eastAsia="Times New Roman" w:hAnsi="Tahoma" w:cs="Tahoma"/>
      <w:sz w:val="16"/>
      <w:szCs w:val="16"/>
      <w:lang w:val="ru-RU" w:eastAsia="ru-RU"/>
    </w:rPr>
  </w:style>
  <w:style w:type="paragraph" w:styleId="Footer">
    <w:name w:val="footer"/>
    <w:basedOn w:val="Normal"/>
    <w:link w:val="FooterChar"/>
    <w:uiPriority w:val="99"/>
    <w:unhideWhenUsed/>
    <w:rsid w:val="00B10B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B10BD2"/>
  </w:style>
  <w:style w:type="paragraph" w:styleId="ListParagraph">
    <w:name w:val="List Paragraph"/>
    <w:basedOn w:val="Normal"/>
    <w:uiPriority w:val="34"/>
    <w:qFormat/>
    <w:rsid w:val="00EA7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rgianmedicalholdin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80BF-84D5-4E37-8B8B-AF9CC818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KGachechiladze</cp:lastModifiedBy>
  <cp:revision>12</cp:revision>
  <cp:lastPrinted>2020-07-08T11:09:00Z</cp:lastPrinted>
  <dcterms:created xsi:type="dcterms:W3CDTF">2020-07-03T11:55:00Z</dcterms:created>
  <dcterms:modified xsi:type="dcterms:W3CDTF">2020-07-09T08:21:00Z</dcterms:modified>
</cp:coreProperties>
</file>